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C3" w:rsidRPr="001D5169" w:rsidRDefault="004F2CC3" w:rsidP="004F2CC3">
      <w:pPr>
        <w:spacing w:after="120"/>
        <w:jc w:val="center"/>
        <w:rPr>
          <w:b/>
          <w:sz w:val="28"/>
          <w:u w:val="single"/>
        </w:rPr>
      </w:pPr>
      <w:r w:rsidRPr="001D5169">
        <w:rPr>
          <w:b/>
          <w:sz w:val="28"/>
          <w:u w:val="single"/>
        </w:rPr>
        <w:t xml:space="preserve">Ilminster Fairtrade Management Committee </w:t>
      </w:r>
    </w:p>
    <w:p w:rsidR="004F2CC3" w:rsidRPr="001D5169" w:rsidRDefault="004F2CC3" w:rsidP="004F2CC3">
      <w:pPr>
        <w:spacing w:after="120"/>
        <w:jc w:val="center"/>
        <w:rPr>
          <w:b/>
          <w:sz w:val="28"/>
          <w:u w:val="single"/>
        </w:rPr>
      </w:pPr>
      <w:r w:rsidRPr="001D5169">
        <w:rPr>
          <w:b/>
          <w:sz w:val="28"/>
          <w:u w:val="single"/>
        </w:rPr>
        <w:t xml:space="preserve">Thursday </w:t>
      </w:r>
      <w:r>
        <w:rPr>
          <w:b/>
          <w:sz w:val="28"/>
          <w:u w:val="single"/>
        </w:rPr>
        <w:t>25 May 2017</w:t>
      </w:r>
    </w:p>
    <w:p w:rsidR="004F2CC3" w:rsidRPr="00D776BA" w:rsidRDefault="004F2CC3" w:rsidP="004F2CC3">
      <w:pPr>
        <w:spacing w:after="120"/>
        <w:jc w:val="center"/>
        <w:rPr>
          <w:b/>
          <w:sz w:val="28"/>
          <w:u w:val="single"/>
        </w:rPr>
      </w:pPr>
      <w:r w:rsidRPr="001D5169">
        <w:rPr>
          <w:b/>
          <w:sz w:val="28"/>
          <w:u w:val="single"/>
        </w:rPr>
        <w:t>MINUTES</w:t>
      </w:r>
    </w:p>
    <w:tbl>
      <w:tblPr>
        <w:tblStyle w:val="TableGrid"/>
        <w:tblW w:w="10065" w:type="dxa"/>
        <w:tblInd w:w="-431" w:type="dxa"/>
        <w:tblLook w:val="04A0" w:firstRow="1" w:lastRow="0" w:firstColumn="1" w:lastColumn="0" w:noHBand="0" w:noVBand="1"/>
      </w:tblPr>
      <w:tblGrid>
        <w:gridCol w:w="726"/>
        <w:gridCol w:w="7497"/>
        <w:gridCol w:w="1842"/>
      </w:tblGrid>
      <w:tr w:rsidR="004F2CC3" w:rsidRPr="001D5169" w:rsidTr="00811B86">
        <w:tc>
          <w:tcPr>
            <w:tcW w:w="726" w:type="dxa"/>
          </w:tcPr>
          <w:p w:rsidR="004F2CC3" w:rsidRPr="001D5169" w:rsidRDefault="004F2CC3" w:rsidP="00B95984">
            <w:pPr>
              <w:rPr>
                <w:b/>
                <w:sz w:val="24"/>
              </w:rPr>
            </w:pPr>
            <w:r w:rsidRPr="001D5169">
              <w:rPr>
                <w:b/>
                <w:sz w:val="24"/>
              </w:rPr>
              <w:t>No.</w:t>
            </w:r>
          </w:p>
        </w:tc>
        <w:tc>
          <w:tcPr>
            <w:tcW w:w="7497" w:type="dxa"/>
          </w:tcPr>
          <w:p w:rsidR="004F2CC3" w:rsidRPr="001D5169" w:rsidRDefault="004F2CC3" w:rsidP="00B95984">
            <w:pPr>
              <w:rPr>
                <w:b/>
                <w:sz w:val="24"/>
              </w:rPr>
            </w:pPr>
            <w:r w:rsidRPr="001D5169">
              <w:rPr>
                <w:b/>
                <w:sz w:val="24"/>
              </w:rPr>
              <w:t>Item</w:t>
            </w:r>
          </w:p>
        </w:tc>
        <w:tc>
          <w:tcPr>
            <w:tcW w:w="1842" w:type="dxa"/>
          </w:tcPr>
          <w:p w:rsidR="004F2CC3" w:rsidRPr="001D5169" w:rsidRDefault="004F2CC3" w:rsidP="00B95984">
            <w:pPr>
              <w:rPr>
                <w:b/>
                <w:sz w:val="24"/>
              </w:rPr>
            </w:pPr>
            <w:r w:rsidRPr="001D5169">
              <w:rPr>
                <w:b/>
                <w:sz w:val="24"/>
              </w:rPr>
              <w:t>Actions</w:t>
            </w:r>
          </w:p>
        </w:tc>
      </w:tr>
      <w:tr w:rsidR="004F2CC3" w:rsidTr="00811B86">
        <w:tc>
          <w:tcPr>
            <w:tcW w:w="726" w:type="dxa"/>
          </w:tcPr>
          <w:p w:rsidR="004F2CC3" w:rsidRPr="00FB737F" w:rsidRDefault="004F2CC3" w:rsidP="00B95984">
            <w:pPr>
              <w:rPr>
                <w:b/>
              </w:rPr>
            </w:pPr>
            <w:r w:rsidRPr="00FB737F">
              <w:rPr>
                <w:b/>
              </w:rPr>
              <w:t>1.</w:t>
            </w:r>
          </w:p>
        </w:tc>
        <w:tc>
          <w:tcPr>
            <w:tcW w:w="7497" w:type="dxa"/>
          </w:tcPr>
          <w:p w:rsidR="004F2CC3" w:rsidRPr="00FB737F" w:rsidRDefault="004F2CC3" w:rsidP="00B95984">
            <w:pPr>
              <w:rPr>
                <w:b/>
              </w:rPr>
            </w:pPr>
            <w:r w:rsidRPr="00FB737F">
              <w:rPr>
                <w:b/>
              </w:rPr>
              <w:t>Welcome and Apologies</w:t>
            </w:r>
          </w:p>
        </w:tc>
        <w:tc>
          <w:tcPr>
            <w:tcW w:w="1842" w:type="dxa"/>
          </w:tcPr>
          <w:p w:rsidR="004F2CC3" w:rsidRDefault="004F2CC3" w:rsidP="00B95984"/>
        </w:tc>
      </w:tr>
      <w:tr w:rsidR="004F2CC3" w:rsidTr="00811B86">
        <w:tc>
          <w:tcPr>
            <w:tcW w:w="726" w:type="dxa"/>
          </w:tcPr>
          <w:p w:rsidR="004F2CC3" w:rsidRPr="00FB737F" w:rsidRDefault="004F2CC3" w:rsidP="00B95984">
            <w:pPr>
              <w:rPr>
                <w:b/>
              </w:rPr>
            </w:pPr>
          </w:p>
        </w:tc>
        <w:tc>
          <w:tcPr>
            <w:tcW w:w="7497" w:type="dxa"/>
          </w:tcPr>
          <w:p w:rsidR="004F2CC3" w:rsidRDefault="004F2CC3" w:rsidP="00B95984">
            <w:r>
              <w:t xml:space="preserve">Attending:  Roger </w:t>
            </w:r>
            <w:proofErr w:type="spellStart"/>
            <w:r>
              <w:t>Gurner</w:t>
            </w:r>
            <w:proofErr w:type="spellEnd"/>
            <w:r>
              <w:t xml:space="preserve"> (RG), Natalie Wainwright (NW), David Westwood (DW).</w:t>
            </w:r>
            <w:r>
              <w:br/>
            </w:r>
          </w:p>
          <w:p w:rsidR="004F2CC3" w:rsidRPr="00FB737F" w:rsidRDefault="004F2CC3" w:rsidP="00B95984">
            <w:pPr>
              <w:rPr>
                <w:b/>
              </w:rPr>
            </w:pPr>
            <w:r>
              <w:t xml:space="preserve">Apologies: Val </w:t>
            </w:r>
            <w:proofErr w:type="spellStart"/>
            <w:r>
              <w:t>Keitch</w:t>
            </w:r>
            <w:proofErr w:type="spellEnd"/>
            <w:r>
              <w:t xml:space="preserve"> (VK), Mike Fry-Foley (MFF), Chris Lawrence (CL), Linda </w:t>
            </w:r>
            <w:proofErr w:type="spellStart"/>
            <w:r>
              <w:t>Vijeh</w:t>
            </w:r>
            <w:proofErr w:type="spellEnd"/>
            <w:r>
              <w:t xml:space="preserve"> (LV), Claire Oaten (CO), Philip Burton (PB).</w:t>
            </w:r>
          </w:p>
        </w:tc>
        <w:tc>
          <w:tcPr>
            <w:tcW w:w="1842" w:type="dxa"/>
          </w:tcPr>
          <w:p w:rsidR="004F2CC3" w:rsidRDefault="004F2CC3" w:rsidP="00B95984"/>
        </w:tc>
      </w:tr>
      <w:tr w:rsidR="004F2CC3" w:rsidTr="00811B86">
        <w:tc>
          <w:tcPr>
            <w:tcW w:w="726" w:type="dxa"/>
          </w:tcPr>
          <w:p w:rsidR="004F2CC3" w:rsidRPr="00FB737F" w:rsidRDefault="004F2CC3" w:rsidP="00B95984">
            <w:pPr>
              <w:rPr>
                <w:b/>
              </w:rPr>
            </w:pPr>
            <w:r>
              <w:rPr>
                <w:b/>
                <w:bCs/>
                <w:u w:val="single"/>
              </w:rPr>
              <w:t xml:space="preserve">2 </w:t>
            </w:r>
          </w:p>
        </w:tc>
        <w:tc>
          <w:tcPr>
            <w:tcW w:w="7497" w:type="dxa"/>
          </w:tcPr>
          <w:p w:rsidR="004F2CC3" w:rsidRPr="00FB737F" w:rsidRDefault="004F2CC3" w:rsidP="00B95984">
            <w:pPr>
              <w:rPr>
                <w:b/>
              </w:rPr>
            </w:pPr>
            <w:r>
              <w:rPr>
                <w:b/>
                <w:bCs/>
                <w:u w:val="single"/>
              </w:rPr>
              <w:t>Minutes of Last Meeting</w:t>
            </w:r>
          </w:p>
        </w:tc>
        <w:tc>
          <w:tcPr>
            <w:tcW w:w="1842" w:type="dxa"/>
          </w:tcPr>
          <w:p w:rsidR="004F2CC3" w:rsidRDefault="004F2CC3" w:rsidP="00B95984"/>
        </w:tc>
      </w:tr>
      <w:tr w:rsidR="004F2CC3" w:rsidTr="00811B86">
        <w:tc>
          <w:tcPr>
            <w:tcW w:w="726" w:type="dxa"/>
          </w:tcPr>
          <w:p w:rsidR="004F2CC3" w:rsidRPr="00FB737F" w:rsidRDefault="004F2CC3" w:rsidP="00B95984">
            <w:pPr>
              <w:rPr>
                <w:b/>
              </w:rPr>
            </w:pPr>
          </w:p>
        </w:tc>
        <w:tc>
          <w:tcPr>
            <w:tcW w:w="7497" w:type="dxa"/>
          </w:tcPr>
          <w:p w:rsidR="004F2CC3" w:rsidRPr="004F2CC3" w:rsidRDefault="004F2CC3" w:rsidP="00B95984">
            <w:r w:rsidRPr="004F2CC3">
              <w:t>The</w:t>
            </w:r>
            <w:r>
              <w:t xml:space="preserve"> minutes of the last meeting, held on 30</w:t>
            </w:r>
            <w:r w:rsidRPr="004F2CC3">
              <w:rPr>
                <w:vertAlign w:val="superscript"/>
              </w:rPr>
              <w:t>th</w:t>
            </w:r>
            <w:r>
              <w:t xml:space="preserve"> March 2017 </w:t>
            </w:r>
            <w:r w:rsidRPr="004F2CC3">
              <w:t>were agreed and signed as an accurate record.</w:t>
            </w:r>
          </w:p>
        </w:tc>
        <w:tc>
          <w:tcPr>
            <w:tcW w:w="1842" w:type="dxa"/>
          </w:tcPr>
          <w:p w:rsidR="004F2CC3" w:rsidRDefault="004F2CC3" w:rsidP="00B95984"/>
        </w:tc>
      </w:tr>
      <w:tr w:rsidR="004F2CC3" w:rsidTr="00811B86">
        <w:tc>
          <w:tcPr>
            <w:tcW w:w="726" w:type="dxa"/>
          </w:tcPr>
          <w:p w:rsidR="004F2CC3" w:rsidRPr="00FB737F" w:rsidRDefault="004F2CC3" w:rsidP="00B95984">
            <w:pPr>
              <w:rPr>
                <w:b/>
              </w:rPr>
            </w:pPr>
            <w:r>
              <w:rPr>
                <w:b/>
              </w:rPr>
              <w:t>3.</w:t>
            </w:r>
          </w:p>
        </w:tc>
        <w:tc>
          <w:tcPr>
            <w:tcW w:w="7497" w:type="dxa"/>
          </w:tcPr>
          <w:p w:rsidR="004F2CC3" w:rsidRPr="00FB737F" w:rsidRDefault="004F2CC3" w:rsidP="00B95984">
            <w:pPr>
              <w:rPr>
                <w:b/>
              </w:rPr>
            </w:pPr>
            <w:r>
              <w:rPr>
                <w:b/>
                <w:bCs/>
                <w:u w:val="single"/>
              </w:rPr>
              <w:t>Matters arising</w:t>
            </w:r>
          </w:p>
        </w:tc>
        <w:tc>
          <w:tcPr>
            <w:tcW w:w="1842" w:type="dxa"/>
          </w:tcPr>
          <w:p w:rsidR="004F2CC3" w:rsidRDefault="004F2CC3" w:rsidP="00B95984"/>
        </w:tc>
      </w:tr>
      <w:tr w:rsidR="004F2CC3" w:rsidTr="00811B86">
        <w:tc>
          <w:tcPr>
            <w:tcW w:w="726" w:type="dxa"/>
          </w:tcPr>
          <w:p w:rsidR="004F2CC3" w:rsidRPr="00FB737F" w:rsidRDefault="004F2CC3" w:rsidP="00B95984">
            <w:pPr>
              <w:rPr>
                <w:b/>
              </w:rPr>
            </w:pPr>
          </w:p>
        </w:tc>
        <w:tc>
          <w:tcPr>
            <w:tcW w:w="7497" w:type="dxa"/>
          </w:tcPr>
          <w:p w:rsidR="004F2CC3" w:rsidRDefault="004F2CC3" w:rsidP="00B95984">
            <w:pPr>
              <w:rPr>
                <w:b/>
                <w:sz w:val="6"/>
              </w:rPr>
            </w:pPr>
          </w:p>
          <w:p w:rsidR="004F2CC3" w:rsidRDefault="00B95984" w:rsidP="00B95984">
            <w:r>
              <w:t xml:space="preserve">The Secretary had appended an Actions log to the agenda.  </w:t>
            </w:r>
          </w:p>
          <w:p w:rsidR="00B95984" w:rsidRPr="00811B86" w:rsidRDefault="00B95984" w:rsidP="00B95984">
            <w:pPr>
              <w:rPr>
                <w:sz w:val="14"/>
              </w:rPr>
            </w:pPr>
          </w:p>
          <w:p w:rsidR="00B95984" w:rsidRDefault="00B95984" w:rsidP="00B95984">
            <w:r>
              <w:t>Agenda item 4 (meeting 02.02.17) – Awaiting an update from PB regarding the purchase of Fairtrade teas and coffees at the Council offices and the inclusion if the Fairtrade Town logo and links on the Town Council’s website;</w:t>
            </w:r>
          </w:p>
          <w:p w:rsidR="00B95984" w:rsidRPr="00811B86" w:rsidRDefault="00B95984" w:rsidP="00B95984">
            <w:pPr>
              <w:rPr>
                <w:sz w:val="14"/>
              </w:rPr>
            </w:pPr>
          </w:p>
          <w:p w:rsidR="00B95984" w:rsidRDefault="00B95984" w:rsidP="00B95984">
            <w:r>
              <w:t>Agenda item 5c (02.02.17) – Awaiting an update from CO regarding the contact with Councillor John Fagan in support of the Resource Box for Schools project.</w:t>
            </w:r>
          </w:p>
          <w:p w:rsidR="00B95984" w:rsidRPr="00811B86" w:rsidRDefault="00B95984" w:rsidP="00B95984">
            <w:pPr>
              <w:rPr>
                <w:sz w:val="14"/>
              </w:rPr>
            </w:pPr>
          </w:p>
          <w:p w:rsidR="00B95984" w:rsidRDefault="00B95984" w:rsidP="00B95984">
            <w:r>
              <w:t xml:space="preserve">Agenda item 3 (30.03.17) – Reconsidered the approach to the Fair Hair Campaign and will cover </w:t>
            </w:r>
            <w:proofErr w:type="spellStart"/>
            <w:r>
              <w:t>Penhalagans</w:t>
            </w:r>
            <w:proofErr w:type="spellEnd"/>
            <w:r>
              <w:t xml:space="preserve">, potentially with a video interview, next as a thank you for their kind donation to the raffle.  </w:t>
            </w:r>
          </w:p>
          <w:p w:rsidR="00B95984" w:rsidRPr="00811B86" w:rsidRDefault="00B95984" w:rsidP="00B95984">
            <w:pPr>
              <w:rPr>
                <w:sz w:val="14"/>
              </w:rPr>
            </w:pPr>
          </w:p>
          <w:p w:rsidR="00B95984" w:rsidRPr="00262504" w:rsidRDefault="00B95984" w:rsidP="00B95984">
            <w:r>
              <w:t>Agenda item 4 (30.03.17</w:t>
            </w:r>
            <w:proofErr w:type="gramStart"/>
            <w:r>
              <w:t>)  -</w:t>
            </w:r>
            <w:proofErr w:type="gramEnd"/>
            <w:r>
              <w:t xml:space="preserve"> Update - Roger </w:t>
            </w:r>
            <w:proofErr w:type="spellStart"/>
            <w:r>
              <w:t>Gurner</w:t>
            </w:r>
            <w:proofErr w:type="spellEnd"/>
            <w:r>
              <w:t xml:space="preserve"> to attend South Somerset District Council’s next Full Council Meeting</w:t>
            </w:r>
            <w:r w:rsidR="00761BCC">
              <w:t xml:space="preserve"> on 15</w:t>
            </w:r>
            <w:r w:rsidR="00761BCC" w:rsidRPr="00761BCC">
              <w:rPr>
                <w:vertAlign w:val="superscript"/>
              </w:rPr>
              <w:t>th</w:t>
            </w:r>
            <w:r w:rsidR="00761BCC">
              <w:t xml:space="preserve"> June 2017</w:t>
            </w:r>
            <w:r>
              <w:t xml:space="preserve">. </w:t>
            </w:r>
          </w:p>
        </w:tc>
        <w:tc>
          <w:tcPr>
            <w:tcW w:w="1842" w:type="dxa"/>
          </w:tcPr>
          <w:p w:rsidR="004F2CC3" w:rsidRDefault="004F2CC3" w:rsidP="00B95984"/>
          <w:p w:rsidR="004F2CC3" w:rsidRDefault="004F2CC3" w:rsidP="00B95984"/>
          <w:p w:rsidR="00B95984" w:rsidRDefault="00B95984" w:rsidP="00B95984">
            <w:r>
              <w:t>PB</w:t>
            </w:r>
          </w:p>
          <w:p w:rsidR="00B95984" w:rsidRDefault="00B95984" w:rsidP="00B95984"/>
          <w:p w:rsidR="00B95984" w:rsidRDefault="00B95984" w:rsidP="00B95984"/>
          <w:p w:rsidR="00811B86" w:rsidRDefault="00811B86" w:rsidP="00B95984"/>
          <w:p w:rsidR="00B95984" w:rsidRDefault="00B95984" w:rsidP="00B95984">
            <w:r>
              <w:t>CO</w:t>
            </w:r>
          </w:p>
          <w:p w:rsidR="00B95984" w:rsidRPr="00811B86" w:rsidRDefault="00B95984" w:rsidP="00B95984">
            <w:pPr>
              <w:rPr>
                <w:sz w:val="28"/>
              </w:rPr>
            </w:pPr>
          </w:p>
          <w:p w:rsidR="00B95984" w:rsidRDefault="00B95984" w:rsidP="00B95984">
            <w:r>
              <w:t>DW/NW</w:t>
            </w:r>
          </w:p>
          <w:p w:rsidR="004F2CC3" w:rsidRDefault="004F2CC3" w:rsidP="00B95984"/>
          <w:p w:rsidR="004F2CC3" w:rsidRDefault="004F2CC3" w:rsidP="00B95984"/>
          <w:p w:rsidR="004F2CC3" w:rsidRPr="00853358" w:rsidRDefault="004F2CC3" w:rsidP="00B95984">
            <w:pPr>
              <w:rPr>
                <w:sz w:val="12"/>
              </w:rPr>
            </w:pPr>
          </w:p>
          <w:p w:rsidR="004F2CC3" w:rsidRDefault="00761BCC" w:rsidP="00B95984">
            <w:r>
              <w:t>RG</w:t>
            </w:r>
          </w:p>
        </w:tc>
      </w:tr>
      <w:tr w:rsidR="004F2CC3" w:rsidTr="00811B86">
        <w:tc>
          <w:tcPr>
            <w:tcW w:w="726" w:type="dxa"/>
          </w:tcPr>
          <w:p w:rsidR="004F2CC3" w:rsidRPr="00FB737F" w:rsidRDefault="004F2CC3" w:rsidP="00B95984">
            <w:pPr>
              <w:rPr>
                <w:b/>
              </w:rPr>
            </w:pPr>
            <w:r>
              <w:rPr>
                <w:b/>
              </w:rPr>
              <w:t>4.</w:t>
            </w:r>
          </w:p>
        </w:tc>
        <w:tc>
          <w:tcPr>
            <w:tcW w:w="7497" w:type="dxa"/>
          </w:tcPr>
          <w:p w:rsidR="004F2CC3" w:rsidRPr="00FB737F" w:rsidRDefault="004F2CC3" w:rsidP="00B95984">
            <w:pPr>
              <w:rPr>
                <w:b/>
              </w:rPr>
            </w:pPr>
            <w:r>
              <w:rPr>
                <w:b/>
                <w:bCs/>
                <w:u w:val="single"/>
              </w:rPr>
              <w:t>Implementation Plan</w:t>
            </w:r>
            <w:r w:rsidR="00761BCC">
              <w:rPr>
                <w:b/>
                <w:bCs/>
                <w:u w:val="single"/>
              </w:rPr>
              <w:t xml:space="preserve"> Project Updates</w:t>
            </w:r>
          </w:p>
        </w:tc>
        <w:tc>
          <w:tcPr>
            <w:tcW w:w="1842" w:type="dxa"/>
          </w:tcPr>
          <w:p w:rsidR="004F2CC3" w:rsidRDefault="004F2CC3" w:rsidP="00B95984"/>
        </w:tc>
      </w:tr>
      <w:tr w:rsidR="00761BCC" w:rsidTr="00811B86">
        <w:tc>
          <w:tcPr>
            <w:tcW w:w="726" w:type="dxa"/>
          </w:tcPr>
          <w:p w:rsidR="00761BCC" w:rsidRDefault="00761BCC" w:rsidP="00761BCC">
            <w:pPr>
              <w:jc w:val="right"/>
              <w:rPr>
                <w:b/>
              </w:rPr>
            </w:pPr>
            <w:r>
              <w:rPr>
                <w:b/>
              </w:rPr>
              <w:t>4a</w:t>
            </w:r>
          </w:p>
        </w:tc>
        <w:tc>
          <w:tcPr>
            <w:tcW w:w="7497" w:type="dxa"/>
          </w:tcPr>
          <w:p w:rsidR="00761BCC" w:rsidRDefault="00761BCC" w:rsidP="00B95984">
            <w:pPr>
              <w:rPr>
                <w:b/>
                <w:bCs/>
              </w:rPr>
            </w:pPr>
            <w:r w:rsidRPr="00761BCC">
              <w:rPr>
                <w:b/>
                <w:bCs/>
              </w:rPr>
              <w:t>Fairtrade Resource Box for Schools</w:t>
            </w:r>
          </w:p>
          <w:p w:rsidR="00761BCC" w:rsidRPr="00761BCC" w:rsidRDefault="00761BCC" w:rsidP="00B95984">
            <w:pPr>
              <w:rPr>
                <w:bCs/>
              </w:rPr>
            </w:pPr>
            <w:r>
              <w:rPr>
                <w:bCs/>
              </w:rPr>
              <w:t>Still awaiting final response from the Ilminster Education Trust</w:t>
            </w:r>
            <w:r w:rsidR="00CD28EB">
              <w:rPr>
                <w:bCs/>
              </w:rPr>
              <w:t xml:space="preserve"> but the Lions Club have invited an application for funds, the results of which are expected within the next two weeks</w:t>
            </w:r>
            <w:r>
              <w:rPr>
                <w:bCs/>
              </w:rPr>
              <w:t xml:space="preserve">.  Should this be unsuccessful, the Management Committee will offer support to alternative fundraising efforts. </w:t>
            </w:r>
            <w:r w:rsidR="00CD28EB">
              <w:rPr>
                <w:bCs/>
              </w:rPr>
              <w:t>LV has already offered to host a wine-tasting, which the school Parent Teachers and Friends Association (PTFA) have proposed might be held on 29</w:t>
            </w:r>
            <w:r w:rsidR="00CD28EB" w:rsidRPr="00CD28EB">
              <w:rPr>
                <w:bCs/>
                <w:vertAlign w:val="superscript"/>
              </w:rPr>
              <w:t>th</w:t>
            </w:r>
            <w:r w:rsidR="00CD28EB">
              <w:rPr>
                <w:bCs/>
              </w:rPr>
              <w:t xml:space="preserve"> September.  </w:t>
            </w:r>
            <w:r>
              <w:rPr>
                <w:bCs/>
              </w:rPr>
              <w:t>NW suggested that proceeds from the raffle may contribute and the Management Committee may wish to offer individuals, businesses and community groups the opportunity to sponsor individual items within the resource box, which would be acknowledge by a sticker on the inside cover of a book, for example.</w:t>
            </w:r>
          </w:p>
        </w:tc>
        <w:tc>
          <w:tcPr>
            <w:tcW w:w="1842" w:type="dxa"/>
          </w:tcPr>
          <w:p w:rsidR="00761BCC" w:rsidRDefault="00761BCC" w:rsidP="00B95984"/>
          <w:p w:rsidR="00761BCC" w:rsidRDefault="00761BCC" w:rsidP="00B95984">
            <w:r>
              <w:t>RG to email CO with offer of support</w:t>
            </w:r>
          </w:p>
        </w:tc>
      </w:tr>
      <w:tr w:rsidR="00761BCC" w:rsidTr="00811B86">
        <w:tc>
          <w:tcPr>
            <w:tcW w:w="726" w:type="dxa"/>
          </w:tcPr>
          <w:p w:rsidR="00761BCC" w:rsidRDefault="00761BCC" w:rsidP="00761BCC">
            <w:pPr>
              <w:jc w:val="right"/>
              <w:rPr>
                <w:b/>
              </w:rPr>
            </w:pPr>
            <w:r>
              <w:rPr>
                <w:b/>
              </w:rPr>
              <w:t>4b</w:t>
            </w:r>
          </w:p>
        </w:tc>
        <w:tc>
          <w:tcPr>
            <w:tcW w:w="7497" w:type="dxa"/>
          </w:tcPr>
          <w:p w:rsidR="00761BCC" w:rsidRDefault="00761BCC" w:rsidP="00B95984">
            <w:pPr>
              <w:rPr>
                <w:b/>
                <w:bCs/>
              </w:rPr>
            </w:pPr>
            <w:proofErr w:type="spellStart"/>
            <w:r>
              <w:rPr>
                <w:b/>
                <w:bCs/>
              </w:rPr>
              <w:t>Greenfylde’s</w:t>
            </w:r>
            <w:proofErr w:type="spellEnd"/>
            <w:r>
              <w:rPr>
                <w:b/>
                <w:bCs/>
              </w:rPr>
              <w:t xml:space="preserve"> Fair Aware Award – Developing wider school links, proposed event</w:t>
            </w:r>
          </w:p>
          <w:p w:rsidR="00761BCC" w:rsidRPr="00761BCC" w:rsidRDefault="00761BCC" w:rsidP="00B95984">
            <w:pPr>
              <w:rPr>
                <w:bCs/>
              </w:rPr>
            </w:pPr>
            <w:r>
              <w:rPr>
                <w:bCs/>
              </w:rPr>
              <w:t xml:space="preserve">CO </w:t>
            </w:r>
            <w:r w:rsidR="00811B86">
              <w:rPr>
                <w:bCs/>
              </w:rPr>
              <w:t>confirmed by email that</w:t>
            </w:r>
            <w:r w:rsidR="00CD28EB">
              <w:rPr>
                <w:bCs/>
              </w:rPr>
              <w:t xml:space="preserve"> this will be followed up in September.</w:t>
            </w:r>
          </w:p>
        </w:tc>
        <w:tc>
          <w:tcPr>
            <w:tcW w:w="1842" w:type="dxa"/>
          </w:tcPr>
          <w:p w:rsidR="00CD28EB" w:rsidRDefault="00CD28EB" w:rsidP="00B95984">
            <w:r>
              <w:t>NW to include as item on meetings forward plan</w:t>
            </w:r>
          </w:p>
        </w:tc>
      </w:tr>
      <w:tr w:rsidR="00CD28EB" w:rsidTr="00811B86">
        <w:tc>
          <w:tcPr>
            <w:tcW w:w="726" w:type="dxa"/>
          </w:tcPr>
          <w:p w:rsidR="00CD28EB" w:rsidRDefault="00CD28EB" w:rsidP="00761BCC">
            <w:pPr>
              <w:jc w:val="right"/>
              <w:rPr>
                <w:b/>
              </w:rPr>
            </w:pPr>
            <w:r>
              <w:rPr>
                <w:b/>
              </w:rPr>
              <w:t>4c</w:t>
            </w:r>
          </w:p>
        </w:tc>
        <w:tc>
          <w:tcPr>
            <w:tcW w:w="7497" w:type="dxa"/>
          </w:tcPr>
          <w:p w:rsidR="00CD28EB" w:rsidRDefault="00CD28EB" w:rsidP="00B95984">
            <w:pPr>
              <w:rPr>
                <w:b/>
                <w:bCs/>
              </w:rPr>
            </w:pPr>
            <w:r>
              <w:rPr>
                <w:b/>
                <w:bCs/>
              </w:rPr>
              <w:t>Shopping Bags Proposal</w:t>
            </w:r>
          </w:p>
          <w:p w:rsidR="00CD28EB" w:rsidRPr="00CD28EB" w:rsidRDefault="00CD28EB" w:rsidP="00B95984">
            <w:pPr>
              <w:rPr>
                <w:bCs/>
              </w:rPr>
            </w:pPr>
            <w:r>
              <w:rPr>
                <w:bCs/>
              </w:rPr>
              <w:t xml:space="preserve">NW confirmed that she had given further consideration to the above and concluded that it would not be in the interests of Ilminster Fairtrade Management Committee to progress this project.  On reflection, the costs to Ilminster Fairtrade and the end customer would be too high.  DW proposed that the same benefits could be achieved by encouraging existing retailers to include </w:t>
            </w:r>
            <w:r>
              <w:rPr>
                <w:bCs/>
              </w:rPr>
              <w:lastRenderedPageBreak/>
              <w:t xml:space="preserve">the </w:t>
            </w:r>
            <w:proofErr w:type="spellStart"/>
            <w:r>
              <w:rPr>
                <w:bCs/>
              </w:rPr>
              <w:t>Fairtarde</w:t>
            </w:r>
            <w:proofErr w:type="spellEnd"/>
            <w:r>
              <w:rPr>
                <w:bCs/>
              </w:rPr>
              <w:t xml:space="preserve"> logo on their own printed bags.  DW would discuss this with a number of retailers in the town and a high-resolution logo could be made available for use via the website.</w:t>
            </w:r>
          </w:p>
        </w:tc>
        <w:tc>
          <w:tcPr>
            <w:tcW w:w="1842" w:type="dxa"/>
          </w:tcPr>
          <w:p w:rsidR="00CD28EB" w:rsidRDefault="00CD28EB" w:rsidP="00B95984"/>
          <w:p w:rsidR="00CD28EB" w:rsidRDefault="00CD28EB" w:rsidP="00B95984"/>
          <w:p w:rsidR="00CD28EB" w:rsidRDefault="00CD28EB" w:rsidP="00B95984">
            <w:r>
              <w:t>DW/NW</w:t>
            </w:r>
          </w:p>
        </w:tc>
      </w:tr>
      <w:tr w:rsidR="00761BCC" w:rsidTr="00811B86">
        <w:tc>
          <w:tcPr>
            <w:tcW w:w="726" w:type="dxa"/>
          </w:tcPr>
          <w:p w:rsidR="00761BCC" w:rsidRDefault="00761BCC" w:rsidP="00B95984">
            <w:pPr>
              <w:rPr>
                <w:b/>
              </w:rPr>
            </w:pPr>
            <w:r>
              <w:rPr>
                <w:b/>
              </w:rPr>
              <w:lastRenderedPageBreak/>
              <w:t>5.</w:t>
            </w:r>
          </w:p>
        </w:tc>
        <w:tc>
          <w:tcPr>
            <w:tcW w:w="7497" w:type="dxa"/>
          </w:tcPr>
          <w:p w:rsidR="00761BCC" w:rsidRDefault="00761BCC" w:rsidP="00B95984">
            <w:pPr>
              <w:rPr>
                <w:b/>
                <w:bCs/>
                <w:u w:val="single"/>
              </w:rPr>
            </w:pPr>
            <w:r>
              <w:rPr>
                <w:b/>
                <w:bCs/>
                <w:u w:val="single"/>
              </w:rPr>
              <w:t>2016-17 Event Planner</w:t>
            </w:r>
          </w:p>
        </w:tc>
        <w:tc>
          <w:tcPr>
            <w:tcW w:w="1842" w:type="dxa"/>
          </w:tcPr>
          <w:p w:rsidR="00761BCC" w:rsidRDefault="00761BCC" w:rsidP="00B95984"/>
        </w:tc>
      </w:tr>
      <w:tr w:rsidR="00761BCC" w:rsidTr="00811B86">
        <w:tc>
          <w:tcPr>
            <w:tcW w:w="726" w:type="dxa"/>
          </w:tcPr>
          <w:p w:rsidR="00761BCC" w:rsidRDefault="00761BCC" w:rsidP="00761BCC">
            <w:pPr>
              <w:jc w:val="right"/>
              <w:rPr>
                <w:b/>
              </w:rPr>
            </w:pPr>
            <w:r>
              <w:rPr>
                <w:b/>
              </w:rPr>
              <w:t>5a</w:t>
            </w:r>
          </w:p>
        </w:tc>
        <w:tc>
          <w:tcPr>
            <w:tcW w:w="7497" w:type="dxa"/>
          </w:tcPr>
          <w:p w:rsidR="00761BCC" w:rsidRPr="00761BCC" w:rsidRDefault="00761BCC" w:rsidP="00B95984">
            <w:pPr>
              <w:rPr>
                <w:bCs/>
              </w:rPr>
            </w:pPr>
            <w:r>
              <w:rPr>
                <w:bCs/>
              </w:rPr>
              <w:t xml:space="preserve">It was agreed that ‘piggy-backing’ other community events, rather than trying to organise our own Fairtrade-specific events, is likely to be more successful in engaging with new and existing supporters and certainly less labour intensive.  This approach will be considered for next year’s </w:t>
            </w:r>
            <w:r w:rsidRPr="00811B86">
              <w:rPr>
                <w:b/>
                <w:bCs/>
              </w:rPr>
              <w:t>AGM</w:t>
            </w:r>
            <w:r>
              <w:rPr>
                <w:bCs/>
              </w:rPr>
              <w:t>.</w:t>
            </w:r>
          </w:p>
        </w:tc>
        <w:tc>
          <w:tcPr>
            <w:tcW w:w="1842" w:type="dxa"/>
          </w:tcPr>
          <w:p w:rsidR="00761BCC" w:rsidRDefault="00761BCC" w:rsidP="00B95984">
            <w:r>
              <w:t>NW to include in meetings forward plan</w:t>
            </w:r>
          </w:p>
        </w:tc>
      </w:tr>
      <w:tr w:rsidR="00761BCC" w:rsidTr="00811B86">
        <w:tc>
          <w:tcPr>
            <w:tcW w:w="726" w:type="dxa"/>
          </w:tcPr>
          <w:p w:rsidR="00761BCC" w:rsidRDefault="00761BCC" w:rsidP="00761BCC">
            <w:pPr>
              <w:jc w:val="right"/>
              <w:rPr>
                <w:b/>
              </w:rPr>
            </w:pPr>
            <w:r>
              <w:rPr>
                <w:b/>
              </w:rPr>
              <w:t>5b</w:t>
            </w:r>
          </w:p>
        </w:tc>
        <w:tc>
          <w:tcPr>
            <w:tcW w:w="7497" w:type="dxa"/>
          </w:tcPr>
          <w:p w:rsidR="00761BCC" w:rsidRDefault="00761BCC" w:rsidP="00B95984">
            <w:pPr>
              <w:rPr>
                <w:bCs/>
              </w:rPr>
            </w:pPr>
            <w:r>
              <w:rPr>
                <w:bCs/>
              </w:rPr>
              <w:t xml:space="preserve">DW and RG agreed to set up and man the Community Drive tea and coffee stall as part of </w:t>
            </w:r>
            <w:proofErr w:type="gramStart"/>
            <w:r>
              <w:rPr>
                <w:bCs/>
              </w:rPr>
              <w:t xml:space="preserve">the  </w:t>
            </w:r>
            <w:r w:rsidRPr="00811B86">
              <w:rPr>
                <w:b/>
                <w:bCs/>
              </w:rPr>
              <w:t>Ilminster</w:t>
            </w:r>
            <w:proofErr w:type="gramEnd"/>
            <w:r w:rsidRPr="00811B86">
              <w:rPr>
                <w:b/>
                <w:bCs/>
              </w:rPr>
              <w:t xml:space="preserve"> Midsummer Experience (</w:t>
            </w:r>
            <w:proofErr w:type="spellStart"/>
            <w:r w:rsidRPr="00811B86">
              <w:rPr>
                <w:b/>
                <w:bCs/>
              </w:rPr>
              <w:t>IMEx</w:t>
            </w:r>
            <w:proofErr w:type="spellEnd"/>
            <w:r w:rsidRPr="00811B86">
              <w:rPr>
                <w:b/>
                <w:bCs/>
              </w:rPr>
              <w:t>).</w:t>
            </w:r>
          </w:p>
        </w:tc>
        <w:tc>
          <w:tcPr>
            <w:tcW w:w="1842" w:type="dxa"/>
          </w:tcPr>
          <w:p w:rsidR="00761BCC" w:rsidRDefault="00761BCC" w:rsidP="00B95984"/>
        </w:tc>
      </w:tr>
      <w:tr w:rsidR="00761BCC" w:rsidTr="00811B86">
        <w:tc>
          <w:tcPr>
            <w:tcW w:w="726" w:type="dxa"/>
          </w:tcPr>
          <w:p w:rsidR="00761BCC" w:rsidRDefault="00761BCC" w:rsidP="00761BCC">
            <w:pPr>
              <w:jc w:val="right"/>
              <w:rPr>
                <w:b/>
              </w:rPr>
            </w:pPr>
            <w:r>
              <w:rPr>
                <w:b/>
              </w:rPr>
              <w:t>5c</w:t>
            </w:r>
          </w:p>
        </w:tc>
        <w:tc>
          <w:tcPr>
            <w:tcW w:w="7497" w:type="dxa"/>
          </w:tcPr>
          <w:p w:rsidR="00761BCC" w:rsidRDefault="00761BCC" w:rsidP="00B95984">
            <w:pPr>
              <w:rPr>
                <w:bCs/>
              </w:rPr>
            </w:pPr>
            <w:r>
              <w:rPr>
                <w:bCs/>
              </w:rPr>
              <w:t xml:space="preserve">As above, RG to attend </w:t>
            </w:r>
            <w:r w:rsidRPr="00811B86">
              <w:rPr>
                <w:b/>
                <w:bCs/>
              </w:rPr>
              <w:t>SSDC Full Council Meeting</w:t>
            </w:r>
          </w:p>
        </w:tc>
        <w:tc>
          <w:tcPr>
            <w:tcW w:w="1842" w:type="dxa"/>
          </w:tcPr>
          <w:p w:rsidR="00761BCC" w:rsidRDefault="00761BCC" w:rsidP="00B95984"/>
        </w:tc>
      </w:tr>
      <w:tr w:rsidR="00761BCC" w:rsidTr="00811B86">
        <w:tc>
          <w:tcPr>
            <w:tcW w:w="726" w:type="dxa"/>
          </w:tcPr>
          <w:p w:rsidR="00761BCC" w:rsidRDefault="00761BCC" w:rsidP="00761BCC">
            <w:pPr>
              <w:jc w:val="right"/>
              <w:rPr>
                <w:b/>
              </w:rPr>
            </w:pPr>
          </w:p>
        </w:tc>
        <w:tc>
          <w:tcPr>
            <w:tcW w:w="7497" w:type="dxa"/>
          </w:tcPr>
          <w:p w:rsidR="00761BCC" w:rsidRDefault="00CD28EB" w:rsidP="00B95984">
            <w:pPr>
              <w:rPr>
                <w:bCs/>
              </w:rPr>
            </w:pPr>
            <w:r>
              <w:rPr>
                <w:bCs/>
              </w:rPr>
              <w:t>It was agreed that Ilminster Fairtrade Management Committee would not be attending the Party on the Park in 2017 but could perhaps influence the provision of Fairtrade teas and coffees by others at the event.</w:t>
            </w:r>
          </w:p>
          <w:p w:rsidR="00CD28EB" w:rsidRDefault="00CD28EB" w:rsidP="00B95984">
            <w:pPr>
              <w:rPr>
                <w:bCs/>
              </w:rPr>
            </w:pPr>
          </w:p>
          <w:p w:rsidR="00CD28EB" w:rsidRDefault="00CD28EB" w:rsidP="00B95984">
            <w:pPr>
              <w:rPr>
                <w:bCs/>
              </w:rPr>
            </w:pPr>
            <w:r>
              <w:rPr>
                <w:bCs/>
              </w:rPr>
              <w:t>DW would be taking a team to the Literary Festival Quiz on 7</w:t>
            </w:r>
            <w:r w:rsidRPr="00CD28EB">
              <w:rPr>
                <w:bCs/>
                <w:vertAlign w:val="superscript"/>
              </w:rPr>
              <w:t>th</w:t>
            </w:r>
            <w:r>
              <w:rPr>
                <w:bCs/>
              </w:rPr>
              <w:t xml:space="preserve"> June, to which Management Committee members were invited.</w:t>
            </w:r>
          </w:p>
        </w:tc>
        <w:tc>
          <w:tcPr>
            <w:tcW w:w="1842" w:type="dxa"/>
          </w:tcPr>
          <w:p w:rsidR="00761BCC" w:rsidRDefault="00761BCC" w:rsidP="00B95984"/>
        </w:tc>
      </w:tr>
      <w:tr w:rsidR="00CD28EB" w:rsidTr="00811B86">
        <w:tc>
          <w:tcPr>
            <w:tcW w:w="726" w:type="dxa"/>
          </w:tcPr>
          <w:p w:rsidR="00CD28EB" w:rsidRDefault="00CD28EB" w:rsidP="00761BCC">
            <w:pPr>
              <w:jc w:val="right"/>
              <w:rPr>
                <w:b/>
              </w:rPr>
            </w:pPr>
            <w:r>
              <w:rPr>
                <w:b/>
              </w:rPr>
              <w:t>6.</w:t>
            </w:r>
          </w:p>
        </w:tc>
        <w:tc>
          <w:tcPr>
            <w:tcW w:w="7497" w:type="dxa"/>
          </w:tcPr>
          <w:p w:rsidR="00CD28EB" w:rsidRPr="00CD28EB" w:rsidRDefault="00CD28EB" w:rsidP="00B95984">
            <w:pPr>
              <w:rPr>
                <w:b/>
                <w:bCs/>
                <w:u w:val="single"/>
              </w:rPr>
            </w:pPr>
            <w:r w:rsidRPr="00CD28EB">
              <w:rPr>
                <w:b/>
                <w:bCs/>
                <w:u w:val="single"/>
              </w:rPr>
              <w:t>PR and Communications, including website</w:t>
            </w:r>
          </w:p>
        </w:tc>
        <w:tc>
          <w:tcPr>
            <w:tcW w:w="1842" w:type="dxa"/>
          </w:tcPr>
          <w:p w:rsidR="00CD28EB" w:rsidRDefault="00CD28EB" w:rsidP="00B95984"/>
        </w:tc>
      </w:tr>
      <w:tr w:rsidR="00CD28EB" w:rsidTr="00811B86">
        <w:tc>
          <w:tcPr>
            <w:tcW w:w="726" w:type="dxa"/>
          </w:tcPr>
          <w:p w:rsidR="00CD28EB" w:rsidRDefault="00CD28EB" w:rsidP="00761BCC">
            <w:pPr>
              <w:jc w:val="right"/>
              <w:rPr>
                <w:b/>
              </w:rPr>
            </w:pPr>
          </w:p>
        </w:tc>
        <w:tc>
          <w:tcPr>
            <w:tcW w:w="7497" w:type="dxa"/>
          </w:tcPr>
          <w:p w:rsidR="00CD28EB" w:rsidRDefault="00CD28EB" w:rsidP="00B95984">
            <w:pPr>
              <w:rPr>
                <w:bCs/>
              </w:rPr>
            </w:pPr>
            <w:r>
              <w:rPr>
                <w:bCs/>
              </w:rPr>
              <w:t>It was agreed that NW would draft a set of survey questions for review by the Management Committee.</w:t>
            </w:r>
            <w:r w:rsidR="00811B86">
              <w:rPr>
                <w:bCs/>
              </w:rPr>
              <w:t xml:space="preserve">  Survey responses would need to be gathered by means of paper and online surveys.  NW has experience of using Survey Monkey and proposed using this for gathering and analysing responses online.</w:t>
            </w:r>
          </w:p>
          <w:p w:rsidR="00CD28EB" w:rsidRDefault="00CD28EB" w:rsidP="00B95984">
            <w:pPr>
              <w:rPr>
                <w:bCs/>
              </w:rPr>
            </w:pPr>
          </w:p>
          <w:p w:rsidR="00CD28EB" w:rsidRDefault="00CD28EB" w:rsidP="00B95984">
            <w:pPr>
              <w:rPr>
                <w:bCs/>
              </w:rPr>
            </w:pPr>
            <w:r>
              <w:rPr>
                <w:bCs/>
              </w:rPr>
              <w:t>Following some reluct</w:t>
            </w:r>
            <w:r w:rsidR="00811B86">
              <w:rPr>
                <w:bCs/>
              </w:rPr>
              <w:t xml:space="preserve">ance on the part of visitor attractions to support </w:t>
            </w:r>
            <w:proofErr w:type="spellStart"/>
            <w:r w:rsidR="00811B86">
              <w:rPr>
                <w:bCs/>
              </w:rPr>
              <w:t>Ilminster’s</w:t>
            </w:r>
            <w:proofErr w:type="spellEnd"/>
            <w:r w:rsidR="00811B86">
              <w:rPr>
                <w:bCs/>
              </w:rPr>
              <w:t xml:space="preserve"> Fairtrade Town status, it was agreed that some form of</w:t>
            </w:r>
            <w:r>
              <w:rPr>
                <w:bCs/>
              </w:rPr>
              <w:t xml:space="preserve"> ‘publicity agreement’ or ‘offer’ to businesses </w:t>
            </w:r>
            <w:r w:rsidR="00811B86">
              <w:rPr>
                <w:bCs/>
              </w:rPr>
              <w:t xml:space="preserve">would be </w:t>
            </w:r>
            <w:r>
              <w:rPr>
                <w:bCs/>
              </w:rPr>
              <w:t xml:space="preserve">useful.  </w:t>
            </w:r>
            <w:r w:rsidR="00811B86">
              <w:rPr>
                <w:bCs/>
              </w:rPr>
              <w:t>This would ensure consistent messaging by Management Committee members who pursue links and make clear to potential supporters what they gain from getting involved, e.g. free publicity via the leaflet and website and access to downloadable images and logos.</w:t>
            </w:r>
          </w:p>
        </w:tc>
        <w:tc>
          <w:tcPr>
            <w:tcW w:w="1842" w:type="dxa"/>
          </w:tcPr>
          <w:p w:rsidR="00CD28EB" w:rsidRDefault="00811B86" w:rsidP="00B95984">
            <w:r>
              <w:t>NW to draft by 20.07.17</w:t>
            </w:r>
          </w:p>
          <w:p w:rsidR="00811B86" w:rsidRDefault="00811B86" w:rsidP="00B95984"/>
          <w:p w:rsidR="00811B86" w:rsidRDefault="00811B86" w:rsidP="00B95984"/>
          <w:p w:rsidR="00811B86" w:rsidRDefault="00811B86" w:rsidP="00B95984"/>
          <w:p w:rsidR="00811B86" w:rsidRDefault="00811B86" w:rsidP="00B95984"/>
          <w:p w:rsidR="00811B86" w:rsidRDefault="00811B86" w:rsidP="00B95984"/>
          <w:p w:rsidR="00811B86" w:rsidRDefault="00811B86" w:rsidP="00B95984">
            <w:r>
              <w:t>NW to draft by 20.07.17</w:t>
            </w:r>
          </w:p>
        </w:tc>
      </w:tr>
      <w:tr w:rsidR="00811B86" w:rsidTr="00811B86">
        <w:tc>
          <w:tcPr>
            <w:tcW w:w="726" w:type="dxa"/>
          </w:tcPr>
          <w:p w:rsidR="00811B86" w:rsidRDefault="00811B86" w:rsidP="00761BCC">
            <w:pPr>
              <w:jc w:val="right"/>
              <w:rPr>
                <w:b/>
              </w:rPr>
            </w:pPr>
            <w:r>
              <w:rPr>
                <w:b/>
              </w:rPr>
              <w:t>7.</w:t>
            </w:r>
          </w:p>
        </w:tc>
        <w:tc>
          <w:tcPr>
            <w:tcW w:w="7497" w:type="dxa"/>
          </w:tcPr>
          <w:p w:rsidR="00811B86" w:rsidRPr="00811B86" w:rsidRDefault="00811B86" w:rsidP="00B95984">
            <w:pPr>
              <w:rPr>
                <w:b/>
                <w:bCs/>
                <w:u w:val="single"/>
              </w:rPr>
            </w:pPr>
            <w:r w:rsidRPr="00811B86">
              <w:rPr>
                <w:b/>
                <w:bCs/>
                <w:u w:val="single"/>
              </w:rPr>
              <w:t>Treasurer’s Report</w:t>
            </w:r>
          </w:p>
        </w:tc>
        <w:tc>
          <w:tcPr>
            <w:tcW w:w="1842" w:type="dxa"/>
          </w:tcPr>
          <w:p w:rsidR="00811B86" w:rsidRDefault="00811B86" w:rsidP="00B95984"/>
        </w:tc>
      </w:tr>
      <w:tr w:rsidR="00811B86" w:rsidTr="00811B86">
        <w:tc>
          <w:tcPr>
            <w:tcW w:w="726" w:type="dxa"/>
          </w:tcPr>
          <w:p w:rsidR="00811B86" w:rsidRDefault="00811B86" w:rsidP="00761BCC">
            <w:pPr>
              <w:jc w:val="right"/>
              <w:rPr>
                <w:b/>
              </w:rPr>
            </w:pPr>
          </w:p>
        </w:tc>
        <w:tc>
          <w:tcPr>
            <w:tcW w:w="7497" w:type="dxa"/>
          </w:tcPr>
          <w:p w:rsidR="00811B86" w:rsidRPr="00811B86" w:rsidRDefault="00811B86" w:rsidP="00B95984">
            <w:pPr>
              <w:rPr>
                <w:bCs/>
              </w:rPr>
            </w:pPr>
            <w:r w:rsidRPr="00811B86">
              <w:rPr>
                <w:bCs/>
              </w:rPr>
              <w:t>The current balance stands at £135.23</w:t>
            </w:r>
          </w:p>
        </w:tc>
        <w:tc>
          <w:tcPr>
            <w:tcW w:w="1842" w:type="dxa"/>
          </w:tcPr>
          <w:p w:rsidR="00811B86" w:rsidRDefault="00811B86" w:rsidP="00B95984"/>
        </w:tc>
      </w:tr>
      <w:tr w:rsidR="004F2CC3" w:rsidTr="00811B86">
        <w:tc>
          <w:tcPr>
            <w:tcW w:w="726" w:type="dxa"/>
          </w:tcPr>
          <w:p w:rsidR="004F2CC3" w:rsidRDefault="004F2CC3" w:rsidP="00B95984">
            <w:pPr>
              <w:rPr>
                <w:b/>
              </w:rPr>
            </w:pPr>
            <w:r>
              <w:rPr>
                <w:b/>
                <w:bCs/>
                <w:u w:val="single"/>
              </w:rPr>
              <w:t>10.</w:t>
            </w:r>
          </w:p>
        </w:tc>
        <w:tc>
          <w:tcPr>
            <w:tcW w:w="7497" w:type="dxa"/>
          </w:tcPr>
          <w:p w:rsidR="004F2CC3" w:rsidRDefault="004F2CC3" w:rsidP="00B95984">
            <w:r>
              <w:rPr>
                <w:b/>
                <w:bCs/>
                <w:u w:val="single"/>
              </w:rPr>
              <w:t>A.O.B.</w:t>
            </w:r>
          </w:p>
        </w:tc>
        <w:tc>
          <w:tcPr>
            <w:tcW w:w="1842" w:type="dxa"/>
          </w:tcPr>
          <w:p w:rsidR="004F2CC3" w:rsidRDefault="004F2CC3" w:rsidP="00B95984"/>
        </w:tc>
      </w:tr>
      <w:tr w:rsidR="004F2CC3" w:rsidTr="00811B86">
        <w:tc>
          <w:tcPr>
            <w:tcW w:w="726" w:type="dxa"/>
          </w:tcPr>
          <w:p w:rsidR="004F2CC3" w:rsidRDefault="004F2CC3" w:rsidP="00B95984">
            <w:pPr>
              <w:rPr>
                <w:b/>
              </w:rPr>
            </w:pPr>
          </w:p>
        </w:tc>
        <w:tc>
          <w:tcPr>
            <w:tcW w:w="7497" w:type="dxa"/>
          </w:tcPr>
          <w:p w:rsidR="004F2CC3" w:rsidRPr="00D45010" w:rsidRDefault="00811B86" w:rsidP="00B95984">
            <w:pPr>
              <w:rPr>
                <w:bCs/>
              </w:rPr>
            </w:pPr>
            <w:r>
              <w:rPr>
                <w:bCs/>
              </w:rPr>
              <w:t xml:space="preserve">The Management Committee are disappointed by Sainsbury’s recent announcement </w:t>
            </w:r>
            <w:r w:rsidRPr="00811B86">
              <w:rPr>
                <w:rFonts w:cstheme="minorHAnsi"/>
                <w:color w:val="000000"/>
              </w:rPr>
              <w:t>that their own-brand Red and Gold Label, Green and Rooibos teas are no longer going to be Fairtrade certified. They will be replaced by Sainsbury’s own ‘Fairly Traded’ range of tea</w:t>
            </w:r>
            <w:r>
              <w:rPr>
                <w:rFonts w:ascii="Arial" w:hAnsi="Arial" w:cs="Arial"/>
                <w:color w:val="000000"/>
              </w:rPr>
              <w:t>.</w:t>
            </w:r>
            <w:r>
              <w:rPr>
                <w:rFonts w:ascii="Arial" w:hAnsi="Arial" w:cs="Arial"/>
                <w:color w:val="000000"/>
              </w:rPr>
              <w:t xml:space="preserve">  </w:t>
            </w:r>
            <w:r w:rsidRPr="00811B86">
              <w:rPr>
                <w:rFonts w:cstheme="minorHAnsi"/>
                <w:color w:val="000000"/>
              </w:rPr>
              <w:t>The Fairtrade Foundation’s Response to this news can be found here:</w:t>
            </w:r>
            <w:r>
              <w:rPr>
                <w:rFonts w:cstheme="minorHAnsi"/>
                <w:color w:val="000000"/>
              </w:rPr>
              <w:t xml:space="preserve"> </w:t>
            </w:r>
            <w:hyperlink r:id="rId5" w:history="1">
              <w:r w:rsidRPr="002B47C2">
                <w:rPr>
                  <w:rStyle w:val="Hyperlink"/>
                  <w:rFonts w:cstheme="minorHAnsi"/>
                </w:rPr>
                <w:t>http://www.fairtrade.org.uk/Media-Centre/News/May-2017/Statement-on-Fairtrade-withdrawal-from-Sainsbury-partnership</w:t>
              </w:r>
            </w:hyperlink>
            <w:r>
              <w:rPr>
                <w:rFonts w:cstheme="minorHAnsi"/>
                <w:color w:val="000000"/>
              </w:rPr>
              <w:t xml:space="preserve"> </w:t>
            </w:r>
          </w:p>
        </w:tc>
        <w:tc>
          <w:tcPr>
            <w:tcW w:w="1842" w:type="dxa"/>
          </w:tcPr>
          <w:p w:rsidR="004F2CC3" w:rsidRDefault="004F2CC3" w:rsidP="00B95984">
            <w:r>
              <w:t>NW/LV</w:t>
            </w:r>
          </w:p>
        </w:tc>
      </w:tr>
      <w:tr w:rsidR="004F2CC3" w:rsidTr="00811B86">
        <w:tc>
          <w:tcPr>
            <w:tcW w:w="726" w:type="dxa"/>
          </w:tcPr>
          <w:p w:rsidR="004F2CC3" w:rsidRDefault="004F2CC3" w:rsidP="00B95984">
            <w:pPr>
              <w:rPr>
                <w:b/>
              </w:rPr>
            </w:pPr>
          </w:p>
        </w:tc>
        <w:tc>
          <w:tcPr>
            <w:tcW w:w="7497" w:type="dxa"/>
          </w:tcPr>
          <w:p w:rsidR="004F2CC3" w:rsidRPr="00D45010" w:rsidRDefault="004F2CC3" w:rsidP="00811B86">
            <w:pPr>
              <w:rPr>
                <w:b/>
                <w:bCs/>
              </w:rPr>
            </w:pPr>
            <w:r>
              <w:rPr>
                <w:b/>
                <w:bCs/>
                <w:u w:val="single"/>
              </w:rPr>
              <w:t xml:space="preserve">Date of Next Meeting, </w:t>
            </w:r>
            <w:r w:rsidRPr="000639D9">
              <w:rPr>
                <w:b/>
                <w:bCs/>
              </w:rPr>
              <w:t>19:30 @ Ilminster Bowling and Tennis Club</w:t>
            </w:r>
          </w:p>
        </w:tc>
        <w:tc>
          <w:tcPr>
            <w:tcW w:w="1842" w:type="dxa"/>
          </w:tcPr>
          <w:p w:rsidR="004F2CC3" w:rsidRDefault="004F2CC3" w:rsidP="00811B86"/>
        </w:tc>
      </w:tr>
      <w:tr w:rsidR="00811B86" w:rsidTr="00811B86">
        <w:tc>
          <w:tcPr>
            <w:tcW w:w="726" w:type="dxa"/>
          </w:tcPr>
          <w:p w:rsidR="00811B86" w:rsidRDefault="00811B86" w:rsidP="00B95984">
            <w:pPr>
              <w:rPr>
                <w:b/>
              </w:rPr>
            </w:pPr>
          </w:p>
        </w:tc>
        <w:tc>
          <w:tcPr>
            <w:tcW w:w="7497" w:type="dxa"/>
          </w:tcPr>
          <w:p w:rsidR="00811B86" w:rsidRPr="00811B86" w:rsidRDefault="00811B86" w:rsidP="00811B86">
            <w:pPr>
              <w:rPr>
                <w:b/>
              </w:rPr>
            </w:pPr>
            <w:r>
              <w:rPr>
                <w:b/>
              </w:rPr>
              <w:t>20 July 2017</w:t>
            </w:r>
          </w:p>
          <w:p w:rsidR="00811B86" w:rsidRDefault="00811B86" w:rsidP="00811B86">
            <w:r>
              <w:t>21 September 2017</w:t>
            </w:r>
          </w:p>
          <w:p w:rsidR="00811B86" w:rsidRDefault="00811B86" w:rsidP="00811B86">
            <w:pPr>
              <w:rPr>
                <w:b/>
                <w:bCs/>
                <w:u w:val="single"/>
              </w:rPr>
            </w:pPr>
            <w:r>
              <w:t>16</w:t>
            </w:r>
            <w:r w:rsidRPr="004F2CC3">
              <w:rPr>
                <w:vertAlign w:val="superscript"/>
              </w:rPr>
              <w:t>th</w:t>
            </w:r>
            <w:r>
              <w:t xml:space="preserve"> November 2017</w:t>
            </w:r>
          </w:p>
        </w:tc>
        <w:tc>
          <w:tcPr>
            <w:tcW w:w="1842" w:type="dxa"/>
          </w:tcPr>
          <w:p w:rsidR="00811B86" w:rsidRDefault="00811B86" w:rsidP="00811B86"/>
        </w:tc>
      </w:tr>
    </w:tbl>
    <w:tbl>
      <w:tblPr>
        <w:tblW w:w="10065" w:type="dxa"/>
        <w:tblInd w:w="-431" w:type="dxa"/>
        <w:tblLayout w:type="fixed"/>
        <w:tblLook w:val="0000" w:firstRow="0" w:lastRow="0" w:firstColumn="0" w:lastColumn="0" w:noHBand="0" w:noVBand="0"/>
      </w:tblPr>
      <w:tblGrid>
        <w:gridCol w:w="10065"/>
      </w:tblGrid>
      <w:tr w:rsidR="004F2CC3" w:rsidRPr="00B27505" w:rsidTr="00811B86">
        <w:tc>
          <w:tcPr>
            <w:tcW w:w="10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F2CC3" w:rsidRDefault="004F2CC3" w:rsidP="00B95984">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Agreed as a fair record. </w:t>
            </w:r>
          </w:p>
          <w:p w:rsidR="004F2CC3" w:rsidRPr="00DC5427" w:rsidRDefault="004F2CC3" w:rsidP="00B95984">
            <w:pPr>
              <w:widowControl w:val="0"/>
              <w:suppressAutoHyphens/>
              <w:spacing w:before="40" w:line="100" w:lineRule="atLeast"/>
              <w:rPr>
                <w:rFonts w:ascii="Arial" w:eastAsia="Calibri" w:hAnsi="Arial" w:cs="Times New Roman"/>
                <w:b/>
                <w:sz w:val="2"/>
                <w:lang w:eastAsia="ar-SA"/>
              </w:rPr>
            </w:pPr>
          </w:p>
          <w:p w:rsidR="004F2CC3" w:rsidRDefault="004F2CC3" w:rsidP="00B95984">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Signed     …………………………</w:t>
            </w:r>
            <w:r>
              <w:rPr>
                <w:rFonts w:ascii="Arial" w:eastAsia="Calibri" w:hAnsi="Arial" w:cs="Times New Roman"/>
                <w:b/>
                <w:sz w:val="20"/>
                <w:lang w:eastAsia="ar-SA"/>
              </w:rPr>
              <w:t>……………………………….</w:t>
            </w:r>
            <w:r w:rsidRPr="00B27505">
              <w:rPr>
                <w:rFonts w:ascii="Arial" w:eastAsia="Calibri" w:hAnsi="Arial" w:cs="Times New Roman"/>
                <w:b/>
                <w:sz w:val="20"/>
                <w:lang w:eastAsia="ar-SA"/>
              </w:rPr>
              <w:t xml:space="preserve">    Chair</w:t>
            </w:r>
            <w:r>
              <w:rPr>
                <w:rFonts w:ascii="Arial" w:eastAsia="Calibri" w:hAnsi="Arial" w:cs="Times New Roman"/>
                <w:b/>
                <w:sz w:val="20"/>
                <w:lang w:eastAsia="ar-SA"/>
              </w:rPr>
              <w:t>man</w:t>
            </w:r>
            <w:r w:rsidRPr="00B27505">
              <w:rPr>
                <w:rFonts w:ascii="Arial" w:eastAsia="Calibri" w:hAnsi="Arial" w:cs="Times New Roman"/>
                <w:b/>
                <w:sz w:val="20"/>
                <w:lang w:eastAsia="ar-SA"/>
              </w:rPr>
              <w:t xml:space="preserve">   </w:t>
            </w:r>
          </w:p>
          <w:p w:rsidR="004F2CC3" w:rsidRPr="00DC5427" w:rsidRDefault="004F2CC3" w:rsidP="00B95984">
            <w:pPr>
              <w:widowControl w:val="0"/>
              <w:suppressAutoHyphens/>
              <w:spacing w:before="40" w:line="100" w:lineRule="atLeast"/>
              <w:rPr>
                <w:rFonts w:ascii="Arial" w:eastAsia="Calibri" w:hAnsi="Arial" w:cs="Times New Roman"/>
                <w:b/>
                <w:sz w:val="14"/>
                <w:lang w:eastAsia="ar-SA"/>
              </w:rPr>
            </w:pPr>
          </w:p>
          <w:p w:rsidR="004F2CC3" w:rsidRPr="00B27505" w:rsidRDefault="004F2CC3" w:rsidP="00B95984">
            <w:pPr>
              <w:widowControl w:val="0"/>
              <w:suppressAutoHyphens/>
              <w:spacing w:before="40" w:line="100" w:lineRule="atLeast"/>
              <w:rPr>
                <w:rFonts w:ascii="Arial" w:eastAsia="Calibri" w:hAnsi="Arial" w:cs="Times New Roman"/>
                <w:b/>
                <w:sz w:val="20"/>
                <w:lang w:eastAsia="ar-SA"/>
              </w:rPr>
            </w:pPr>
            <w:r w:rsidRPr="00B27505">
              <w:rPr>
                <w:rFonts w:ascii="Arial" w:eastAsia="Calibri" w:hAnsi="Arial" w:cs="Times New Roman"/>
                <w:b/>
                <w:sz w:val="20"/>
                <w:lang w:eastAsia="ar-SA"/>
              </w:rPr>
              <w:t xml:space="preserve">Dated   </w:t>
            </w:r>
            <w:r>
              <w:rPr>
                <w:rFonts w:ascii="Arial" w:eastAsia="Calibri" w:hAnsi="Arial" w:cs="Times New Roman"/>
                <w:b/>
                <w:sz w:val="20"/>
                <w:lang w:eastAsia="ar-SA"/>
              </w:rPr>
              <w:t xml:space="preserve">   </w:t>
            </w:r>
            <w:r w:rsidRPr="00B27505">
              <w:rPr>
                <w:rFonts w:ascii="Arial" w:eastAsia="Calibri" w:hAnsi="Arial" w:cs="Times New Roman"/>
                <w:b/>
                <w:sz w:val="20"/>
                <w:lang w:eastAsia="ar-SA"/>
              </w:rPr>
              <w:t xml:space="preserve"> ………………</w:t>
            </w:r>
            <w:r>
              <w:rPr>
                <w:rFonts w:ascii="Arial" w:eastAsia="Calibri" w:hAnsi="Arial" w:cs="Times New Roman"/>
                <w:b/>
                <w:sz w:val="20"/>
                <w:lang w:eastAsia="ar-SA"/>
              </w:rPr>
              <w:t>……………</w:t>
            </w:r>
            <w:proofErr w:type="gramStart"/>
            <w:r>
              <w:rPr>
                <w:rFonts w:ascii="Arial" w:eastAsia="Calibri" w:hAnsi="Arial" w:cs="Times New Roman"/>
                <w:b/>
                <w:sz w:val="20"/>
                <w:lang w:eastAsia="ar-SA"/>
              </w:rPr>
              <w:t>…..</w:t>
            </w:r>
            <w:proofErr w:type="gramEnd"/>
          </w:p>
        </w:tc>
      </w:tr>
    </w:tbl>
    <w:p w:rsidR="00B95984" w:rsidRPr="00811B86" w:rsidRDefault="00B95984" w:rsidP="00811B86">
      <w:pPr>
        <w:rPr>
          <w:sz w:val="2"/>
          <w:szCs w:val="2"/>
        </w:rPr>
      </w:pPr>
      <w:bookmarkStart w:id="0" w:name="_GoBack"/>
      <w:bookmarkEnd w:id="0"/>
    </w:p>
    <w:sectPr w:rsidR="00B95984" w:rsidRPr="00811B86" w:rsidSect="00B95984">
      <w:headerReference w:type="default" r:id="rId6"/>
      <w:footerReference w:type="default" r:id="rId7"/>
      <w:pgSz w:w="11906" w:h="16838"/>
      <w:pgMar w:top="1440" w:right="1440" w:bottom="1276" w:left="1440"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98964"/>
      <w:docPartObj>
        <w:docPartGallery w:val="Page Numbers (Bottom of Page)"/>
        <w:docPartUnique/>
      </w:docPartObj>
    </w:sdtPr>
    <w:sdtEndPr>
      <w:rPr>
        <w:noProof/>
      </w:rPr>
    </w:sdtEndPr>
    <w:sdtContent>
      <w:p w:rsidR="00CD28EB" w:rsidRDefault="00CD28EB">
        <w:pPr>
          <w:pStyle w:val="Footer"/>
          <w:jc w:val="center"/>
        </w:pPr>
        <w:r>
          <w:fldChar w:fldCharType="begin"/>
        </w:r>
        <w:r>
          <w:instrText xml:space="preserve"> PAGE   \* MERGEFORMAT </w:instrText>
        </w:r>
        <w:r>
          <w:fldChar w:fldCharType="separate"/>
        </w:r>
        <w:r w:rsidR="00811B86">
          <w:rPr>
            <w:noProof/>
          </w:rPr>
          <w:t>2</w:t>
        </w:r>
        <w:r>
          <w:rPr>
            <w:noProof/>
          </w:rPr>
          <w:fldChar w:fldCharType="end"/>
        </w:r>
      </w:p>
    </w:sdtContent>
  </w:sdt>
  <w:p w:rsidR="00CD28EB" w:rsidRDefault="00CD28E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EB" w:rsidRDefault="00CD28EB" w:rsidP="00B95984">
    <w:pPr>
      <w:pStyle w:val="Header"/>
      <w:jc w:val="center"/>
    </w:pPr>
    <w:r>
      <w:rPr>
        <w:noProof/>
        <w:lang w:eastAsia="en-GB"/>
      </w:rPr>
      <w:drawing>
        <wp:inline distT="0" distB="0" distL="0" distR="0" wp14:anchorId="6A856C31" wp14:editId="1B948219">
          <wp:extent cx="1524000" cy="106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E4A4C"/>
    <w:multiLevelType w:val="hybridMultilevel"/>
    <w:tmpl w:val="1F48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C3"/>
    <w:rsid w:val="004F2CC3"/>
    <w:rsid w:val="006A3128"/>
    <w:rsid w:val="006A4FB4"/>
    <w:rsid w:val="00702A0C"/>
    <w:rsid w:val="00761BCC"/>
    <w:rsid w:val="00811B86"/>
    <w:rsid w:val="00B95984"/>
    <w:rsid w:val="00CD28EB"/>
    <w:rsid w:val="00D27277"/>
    <w:rsid w:val="00D73A8B"/>
    <w:rsid w:val="00DA3F06"/>
    <w:rsid w:val="00FB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3F4B"/>
  <w15:chartTrackingRefBased/>
  <w15:docId w15:val="{EEE81230-035B-4F9E-A5DD-B1D500D7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CC3"/>
  </w:style>
  <w:style w:type="paragraph" w:styleId="Footer">
    <w:name w:val="footer"/>
    <w:basedOn w:val="Normal"/>
    <w:link w:val="FooterChar"/>
    <w:uiPriority w:val="99"/>
    <w:unhideWhenUsed/>
    <w:rsid w:val="004F2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CC3"/>
  </w:style>
  <w:style w:type="table" w:styleId="TableGrid">
    <w:name w:val="Table Grid"/>
    <w:basedOn w:val="TableNormal"/>
    <w:uiPriority w:val="59"/>
    <w:rsid w:val="004F2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C3"/>
    <w:pPr>
      <w:ind w:left="720"/>
      <w:contextualSpacing/>
    </w:pPr>
  </w:style>
  <w:style w:type="character" w:styleId="Hyperlink">
    <w:name w:val="Hyperlink"/>
    <w:basedOn w:val="DefaultParagraphFont"/>
    <w:uiPriority w:val="99"/>
    <w:unhideWhenUsed/>
    <w:rsid w:val="00811B86"/>
    <w:rPr>
      <w:color w:val="0563C1" w:themeColor="hyperlink"/>
      <w:u w:val="single"/>
    </w:rPr>
  </w:style>
  <w:style w:type="character" w:styleId="UnresolvedMention">
    <w:name w:val="Unresolved Mention"/>
    <w:basedOn w:val="DefaultParagraphFont"/>
    <w:uiPriority w:val="99"/>
    <w:semiHidden/>
    <w:unhideWhenUsed/>
    <w:rsid w:val="00811B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fairtrade.org.uk/Media-Centre/News/May-2017/Statement-on-Fairtrade-withdrawal-from-Sainsbury-partne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Natalie.Wainwright - SCH.494</dc:creator>
  <cp:keywords/>
  <dc:description/>
  <cp:lastModifiedBy>Natalie.Wainwright - SCH.494</cp:lastModifiedBy>
  <cp:revision>2</cp:revision>
  <dcterms:created xsi:type="dcterms:W3CDTF">2017-06-22T10:32:00Z</dcterms:created>
  <dcterms:modified xsi:type="dcterms:W3CDTF">2017-06-22T11:14:00Z</dcterms:modified>
</cp:coreProperties>
</file>